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4319905" cy="1755140"/>
            <wp:effectExtent l="0" t="0" r="4445" b="16510"/>
            <wp:docPr id="5" name="图片 5" descr="supplementary 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S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75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Figure S5. Transcript profiles of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and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RPL23aB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in different organs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.</w:t>
      </w: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Y axis: the average RPKM (Reads Per Kilobase per Million mapped reads) value of two biological replicates.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A</w:t>
      </w:r>
      <w:r>
        <w:rPr>
          <w:rFonts w:hint="default" w:ascii="Times New Roman" w:hAnsi="Times New Roman" w:eastAsia="宋体" w:cs="Times New Roman"/>
          <w:sz w:val="24"/>
          <w:szCs w:val="24"/>
        </w:rPr>
        <w:t>) parts of flower.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eastAsia="宋体" w:cs="Times New Roman"/>
          <w:sz w:val="24"/>
          <w:szCs w:val="24"/>
        </w:rPr>
        <w:t>) different flowers in the inflorescence, with the first flower at the moment of anthesis. a, sepals; b, anthers; c, carpels; d, ovules from carpels; e, stigmatic tissue; f, stamen filaments of mature flowers.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E3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2020-03-11T06:20:07Z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